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49F" w:rsidRDefault="00AC049F" w:rsidP="00E145ED">
      <w:pPr>
        <w:spacing w:after="0"/>
        <w:rPr>
          <w:lang w:val="en-US"/>
        </w:rPr>
      </w:pPr>
      <w:bookmarkStart w:id="0" w:name="_GoBack"/>
    </w:p>
    <w:p w:rsidR="00C53165" w:rsidRPr="00E145ED" w:rsidRDefault="00D771ED" w:rsidP="00E145ED">
      <w:pPr>
        <w:spacing w:after="0" w:line="240" w:lineRule="auto"/>
        <w:contextualSpacing/>
        <w:jc w:val="both"/>
        <w:rPr>
          <w:rFonts w:ascii="Arial" w:hAnsi="Arial" w:cs="Arial"/>
          <w:sz w:val="18"/>
          <w:szCs w:val="18"/>
          <w:lang w:val="en-US"/>
        </w:rPr>
      </w:pPr>
      <w:r w:rsidRPr="00D771ED">
        <w:rPr>
          <w:rFonts w:ascii="Arial" w:hAnsi="Arial" w:cs="Arial"/>
          <w:b/>
          <w:bCs/>
          <w:sz w:val="18"/>
          <w:szCs w:val="18"/>
          <w:lang w:val="en-GB"/>
        </w:rPr>
        <w:t>S</w:t>
      </w:r>
      <w:r w:rsidRPr="00D771ED">
        <w:rPr>
          <w:rFonts w:ascii="Arial" w:hAnsi="Arial" w:cs="Arial"/>
          <w:b/>
          <w:bCs/>
          <w:sz w:val="18"/>
          <w:szCs w:val="18"/>
          <w:lang w:val="en-IO"/>
        </w:rPr>
        <w:t>5</w:t>
      </w:r>
      <w:r w:rsidRPr="00D771ED">
        <w:rPr>
          <w:rFonts w:ascii="Arial" w:hAnsi="Arial" w:cs="Arial"/>
          <w:b/>
          <w:bCs/>
          <w:sz w:val="18"/>
          <w:szCs w:val="18"/>
          <w:lang w:val="en-GB"/>
        </w:rPr>
        <w:t xml:space="preserve"> Table </w:t>
      </w:r>
      <w:r w:rsidRPr="00D771ED">
        <w:rPr>
          <w:rFonts w:ascii="Arial" w:hAnsi="Arial" w:cs="Arial"/>
          <w:b/>
          <w:bCs/>
          <w:sz w:val="18"/>
          <w:szCs w:val="18"/>
          <w:lang w:val="en-IO"/>
        </w:rPr>
        <w:t>5</w:t>
      </w:r>
      <w:r w:rsidR="00E145ED">
        <w:rPr>
          <w:rFonts w:ascii="Arial" w:hAnsi="Arial" w:cs="Arial"/>
          <w:b/>
          <w:bCs/>
          <w:sz w:val="18"/>
          <w:szCs w:val="18"/>
          <w:lang w:val="en-GB"/>
        </w:rPr>
        <w:t>. MGUS vs. MM</w:t>
      </w:r>
      <w:r w:rsidR="00E145ED">
        <w:rPr>
          <w:rFonts w:asciiTheme="minorBidi" w:hAnsiTheme="minorBidi"/>
          <w:b/>
          <w:bCs/>
          <w:sz w:val="18"/>
          <w:szCs w:val="18"/>
          <w:lang w:val="en-IO"/>
        </w:rPr>
        <w:t>.</w:t>
      </w:r>
      <w:r w:rsidR="00E145ED" w:rsidRPr="0090289A">
        <w:rPr>
          <w:rFonts w:asciiTheme="minorBidi" w:hAnsiTheme="minorBidi"/>
          <w:b/>
          <w:bCs/>
          <w:sz w:val="18"/>
          <w:szCs w:val="18"/>
          <w:lang w:val="en-GB"/>
        </w:rPr>
        <w:t xml:space="preserve"> </w:t>
      </w:r>
      <w:r w:rsidR="00E145ED" w:rsidRPr="006F2FD6">
        <w:rPr>
          <w:rFonts w:asciiTheme="minorBidi" w:hAnsiTheme="minorBidi"/>
          <w:sz w:val="18"/>
          <w:szCs w:val="18"/>
        </w:rPr>
        <w:t>Diagnostic</w:t>
      </w:r>
      <w:r w:rsidR="00E145ED" w:rsidRPr="006F2FD6">
        <w:rPr>
          <w:rFonts w:asciiTheme="minorBidi" w:hAnsiTheme="minorBidi"/>
          <w:sz w:val="18"/>
          <w:szCs w:val="18"/>
          <w:lang w:val="en-IO"/>
        </w:rPr>
        <w:t xml:space="preserve"> p</w:t>
      </w:r>
      <w:r w:rsidR="00E145ED" w:rsidRPr="006F2FD6">
        <w:rPr>
          <w:rFonts w:asciiTheme="minorBidi" w:hAnsiTheme="minorBidi"/>
          <w:sz w:val="18"/>
          <w:szCs w:val="18"/>
        </w:rPr>
        <w:t>erformance</w:t>
      </w:r>
      <w:r w:rsidR="00E145ED" w:rsidRPr="006F2FD6">
        <w:rPr>
          <w:rFonts w:asciiTheme="minorBidi" w:hAnsiTheme="minorBidi"/>
          <w:sz w:val="18"/>
          <w:szCs w:val="18"/>
          <w:lang w:val="en-IO"/>
        </w:rPr>
        <w:t xml:space="preserve"> of metabolites and lipoprotein subfraction variables </w:t>
      </w:r>
      <w:r w:rsidR="00E145ED" w:rsidRPr="00E145ED">
        <w:rPr>
          <w:rFonts w:asciiTheme="minorBidi" w:hAnsiTheme="minorBidi"/>
          <w:sz w:val="18"/>
          <w:szCs w:val="18"/>
          <w:lang w:val="en-IO"/>
        </w:rPr>
        <w:t>for</w:t>
      </w:r>
      <w:r w:rsidR="00E145ED" w:rsidRPr="00E145ED">
        <w:rPr>
          <w:rFonts w:asciiTheme="minorBidi" w:hAnsiTheme="minorBidi"/>
          <w:sz w:val="18"/>
          <w:szCs w:val="18"/>
        </w:rPr>
        <w:t xml:space="preserve"> </w:t>
      </w:r>
      <w:r w:rsidR="00E145ED" w:rsidRPr="00E145ED">
        <w:rPr>
          <w:rFonts w:ascii="Arial" w:hAnsi="Arial" w:cs="Arial"/>
          <w:sz w:val="18"/>
          <w:szCs w:val="18"/>
          <w:lang w:val="en-GB"/>
        </w:rPr>
        <w:t>MGUS vs. MM</w:t>
      </w:r>
      <w:r w:rsidR="00E145ED">
        <w:rPr>
          <w:rFonts w:asciiTheme="minorBidi" w:hAnsiTheme="minorBidi"/>
          <w:sz w:val="18"/>
          <w:szCs w:val="18"/>
          <w:lang w:val="en-IO"/>
        </w:rPr>
        <w:t xml:space="preserve"> </w:t>
      </w:r>
      <w:r w:rsidR="00E145ED">
        <w:rPr>
          <w:rFonts w:asciiTheme="minorBidi" w:hAnsiTheme="minorBidi"/>
          <w:sz w:val="18"/>
          <w:szCs w:val="18"/>
          <w:lang w:val="en-IO"/>
        </w:rPr>
        <w:t xml:space="preserve">with 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>VIP score</w:t>
      </w:r>
      <w:r w:rsidR="00E145ED">
        <w:rPr>
          <w:rFonts w:asciiTheme="minorBidi" w:hAnsiTheme="minorBidi"/>
          <w:sz w:val="18"/>
          <w:szCs w:val="18"/>
          <w:lang w:val="en-IO"/>
        </w:rPr>
        <w:t>s</w:t>
      </w:r>
      <w:r w:rsidR="00E145ED" w:rsidRPr="006F2FD6">
        <w:rPr>
          <w:rFonts w:asciiTheme="minorBidi" w:hAnsiTheme="minorBidi"/>
          <w:sz w:val="18"/>
          <w:szCs w:val="18"/>
          <w:lang w:val="en-IO"/>
        </w:rPr>
        <w:t xml:space="preserve"> 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>≥</w:t>
      </w:r>
      <w:r w:rsidR="00E145ED" w:rsidRPr="006F2FD6">
        <w:rPr>
          <w:rFonts w:asciiTheme="minorBidi" w:hAnsiTheme="minorBidi"/>
          <w:sz w:val="18"/>
          <w:szCs w:val="18"/>
          <w:lang w:val="en-IO"/>
        </w:rPr>
        <w:t xml:space="preserve"> 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>1.</w:t>
      </w:r>
      <w:r w:rsidR="00E145ED" w:rsidRPr="006F2FD6">
        <w:rPr>
          <w:rFonts w:asciiTheme="minorBidi" w:hAnsiTheme="minorBidi"/>
          <w:sz w:val="18"/>
          <w:szCs w:val="18"/>
          <w:lang w:val="en-IO"/>
        </w:rPr>
        <w:t>0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 xml:space="preserve">. </w:t>
      </w:r>
      <w:r w:rsidR="00E145ED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 xml:space="preserve">-values from Mann Whitney U Test. </w:t>
      </w:r>
      <w:r w:rsidR="00E145ED" w:rsidRPr="006F2FD6">
        <w:rPr>
          <w:rFonts w:asciiTheme="minorBidi" w:hAnsiTheme="minorBidi"/>
          <w:sz w:val="18"/>
          <w:szCs w:val="18"/>
          <w:vertAlign w:val="superscript"/>
          <w:lang w:val="en-US"/>
        </w:rPr>
        <w:t>b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 xml:space="preserve">FDR corrected </w:t>
      </w:r>
      <w:r w:rsidR="00E145ED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>-values</w:t>
      </w:r>
      <w:r w:rsidR="00E145ED">
        <w:rPr>
          <w:rFonts w:asciiTheme="minorBidi" w:hAnsiTheme="minorBidi"/>
          <w:sz w:val="18"/>
          <w:szCs w:val="18"/>
          <w:lang w:val="en-IO"/>
        </w:rPr>
        <w:t xml:space="preserve"> (</w:t>
      </w:r>
      <w:r w:rsidR="00E145ED">
        <w:rPr>
          <w:rFonts w:asciiTheme="minorBidi" w:hAnsiTheme="minorBidi"/>
          <w:i/>
          <w:iCs/>
          <w:sz w:val="18"/>
          <w:szCs w:val="18"/>
          <w:lang w:val="en-IO"/>
        </w:rPr>
        <w:t>q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>-</w:t>
      </w:r>
      <w:r w:rsidR="00E145ED">
        <w:rPr>
          <w:rFonts w:asciiTheme="minorBidi" w:hAnsiTheme="minorBidi"/>
          <w:sz w:val="18"/>
          <w:szCs w:val="18"/>
          <w:lang w:val="en-IO"/>
        </w:rPr>
        <w:t>value)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 xml:space="preserve">. </w:t>
      </w:r>
      <w:r w:rsidR="00E145ED" w:rsidRPr="006F2FD6">
        <w:rPr>
          <w:rFonts w:asciiTheme="minorBidi" w:hAnsiTheme="minorBidi"/>
          <w:sz w:val="18"/>
          <w:szCs w:val="18"/>
          <w:vertAlign w:val="superscript"/>
          <w:lang w:val="en-US"/>
        </w:rPr>
        <w:t xml:space="preserve">c </w:t>
      </w:r>
      <w:r w:rsidR="00E145ED" w:rsidRPr="006F2FD6">
        <w:rPr>
          <w:rFonts w:asciiTheme="minorBidi" w:hAnsiTheme="minorBidi"/>
          <w:i/>
          <w:iCs/>
          <w:sz w:val="18"/>
          <w:szCs w:val="18"/>
          <w:lang w:val="en-US"/>
        </w:rPr>
        <w:t>p</w:t>
      </w:r>
      <w:r w:rsidR="00E145ED" w:rsidRPr="006F2FD6">
        <w:rPr>
          <w:rFonts w:asciiTheme="minorBidi" w:hAnsiTheme="minorBidi"/>
          <w:sz w:val="18"/>
          <w:szCs w:val="18"/>
          <w:lang w:val="en-IO"/>
        </w:rPr>
        <w:t>-</w:t>
      </w:r>
      <w:r w:rsidR="00E145ED" w:rsidRPr="006F2FD6">
        <w:rPr>
          <w:rFonts w:asciiTheme="minorBidi" w:hAnsiTheme="minorBidi"/>
          <w:sz w:val="18"/>
          <w:szCs w:val="18"/>
          <w:lang w:val="en-US"/>
        </w:rPr>
        <w:t>values from ROC analysis.</w:t>
      </w:r>
      <w:r w:rsidR="00E145ED" w:rsidRPr="00E145ED">
        <w:rPr>
          <w:rFonts w:ascii="Arial" w:hAnsi="Arial" w:cs="Arial"/>
          <w:sz w:val="18"/>
          <w:szCs w:val="18"/>
          <w:lang w:val="en-US"/>
        </w:rPr>
        <w:t xml:space="preserve"> </w:t>
      </w:r>
    </w:p>
    <w:tbl>
      <w:tblPr>
        <w:tblStyle w:val="TableGrid"/>
        <w:tblW w:w="10202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134"/>
        <w:gridCol w:w="567"/>
        <w:gridCol w:w="850"/>
        <w:gridCol w:w="993"/>
        <w:gridCol w:w="708"/>
        <w:gridCol w:w="709"/>
        <w:gridCol w:w="992"/>
        <w:gridCol w:w="851"/>
        <w:gridCol w:w="851"/>
      </w:tblGrid>
      <w:tr w:rsidR="00C53165" w:rsidRPr="00C353CF" w:rsidTr="00D0460B">
        <w:trPr>
          <w:trHeight w:val="357"/>
        </w:trPr>
        <w:tc>
          <w:tcPr>
            <w:tcW w:w="1271" w:type="dxa"/>
            <w:vMerge w:val="restart"/>
          </w:tcPr>
          <w:bookmarkEnd w:id="0"/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Metabolites [mmol/L or mg/dL]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MGUS  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MM </w:t>
            </w:r>
          </w:p>
        </w:tc>
        <w:tc>
          <w:tcPr>
            <w:tcW w:w="567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FC</w:t>
            </w:r>
          </w:p>
        </w:tc>
        <w:tc>
          <w:tcPr>
            <w:tcW w:w="850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>a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p-</w:t>
            </w: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 xml:space="preserve">  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value</w:t>
            </w:r>
          </w:p>
        </w:tc>
        <w:tc>
          <w:tcPr>
            <w:tcW w:w="993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>b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q- value</w:t>
            </w:r>
          </w:p>
        </w:tc>
        <w:tc>
          <w:tcPr>
            <w:tcW w:w="708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Sensitivity (%)</w:t>
            </w:r>
          </w:p>
        </w:tc>
        <w:tc>
          <w:tcPr>
            <w:tcW w:w="709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Specificity (%)</w:t>
            </w:r>
          </w:p>
        </w:tc>
        <w:tc>
          <w:tcPr>
            <w:tcW w:w="992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AUC (95% CI) </w:t>
            </w:r>
          </w:p>
        </w:tc>
        <w:tc>
          <w:tcPr>
            <w:tcW w:w="851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  <w:t xml:space="preserve">c </w:t>
            </w: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p-value</w:t>
            </w:r>
          </w:p>
        </w:tc>
        <w:tc>
          <w:tcPr>
            <w:tcW w:w="851" w:type="dxa"/>
            <w:vMerge w:val="restart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VIP</w:t>
            </w:r>
          </w:p>
        </w:tc>
      </w:tr>
      <w:tr w:rsidR="00C53165" w:rsidRPr="00C353CF" w:rsidTr="00D0460B">
        <w:trPr>
          <w:trHeight w:val="356"/>
        </w:trPr>
        <w:tc>
          <w:tcPr>
            <w:tcW w:w="1271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Median (min/max)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r w:rsidRPr="00C353CF">
              <w:rPr>
                <w:rFonts w:cstheme="minorHAnsi"/>
                <w:b/>
                <w:bCs/>
                <w:sz w:val="18"/>
                <w:szCs w:val="18"/>
                <w:lang w:val="en-US"/>
              </w:rPr>
              <w:t>Median (min/max)</w:t>
            </w:r>
          </w:p>
        </w:tc>
        <w:tc>
          <w:tcPr>
            <w:tcW w:w="567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993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708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851" w:type="dxa"/>
            <w:vMerge/>
          </w:tcPr>
          <w:p w:rsidR="00C53165" w:rsidRPr="00C353CF" w:rsidRDefault="00C53165" w:rsidP="00D0460B">
            <w:pPr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Glutamine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0.632 (0.347-0.937)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0.462 (0.293-0.765)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0.79 (0.66-0.92)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Total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175.108 (105.713-307.523)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112.233 (61.176-189.296)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0.86 (0.75-0.96)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51.403 (31.261-91.616)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35.017 (14.370-60.863)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86.67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0.86 (0.75-0.97)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Total Apolipoprotein-A1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127.682 (90.308-215.506)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87.954 (45.471-145.260)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90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0.92 (0.84-0.99)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1.4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Total Apolipoprotein-A2 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26.175 (16.906-40.164)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19.195 (11.590-31.825) 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0.80 (0.68-0.92)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LDL Free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28.700 (10.758-55.213)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18.703 (4.560-32.269)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76.67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0.79 (0.67-0.92)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Free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13.231 (3.825-31.399)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5.480 (0.016-12.821)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0.4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96.15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0.93 (0.86-1.0)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1.5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Phospholipids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72.849 (44.936-129.936)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53.707 (30.603-80.644) 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83.3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0.84 (0.71-0.96)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 Apoliprotein-A1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127.673 (87.859-219.151)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89.671 (35.903-143.393)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90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0.90 (0.81-0.99)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LDL-3 Free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3.978 (0.500-10.358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2.550 (0.171-5.132) 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77.78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0.77 (0.63-0.91)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0.0018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LDL-4 Free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3.659 (1.860-7.811)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1.987 (0.151-5.199) 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0.5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70.83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78.95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0.84 (0.72.-0.96)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HDL-3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8.824 (5.866-15.083)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5.360 (1.380-9.295)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0.89 (0.80-0.97)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15.228 (5.628-23.353)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8.841 (1.818-14.359)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85.19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0.87 (0.77-0.98)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HDL-1 Free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4.973 (0.536-17.467)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2.094 (0.320-5.183)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0.4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74.07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0.81 (0.69-0.94)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1.1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HDL-2 Free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1.947 (0.850-3.879)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1.379 (0.140-2.816)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89.66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0.76 (0.61-0.92)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0.017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lastRenderedPageBreak/>
              <w:t>HDL-4 Free Cholesterol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3.144 (0.881-5.028)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2.267 (0.699-3.649) 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0.0010448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80.77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0.74 (0.60-0.89)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0.0052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Phospholipids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22.647 (8.915-31.714)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14.391 (3.770-22.178)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96.55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0.87 (0.76-0.99)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1.3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HDL-2 Apolipoprotein-A1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17.965 (9.071-32.481)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12.445 (5.824-18.980)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73.3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0.81 (0.68-0.94)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HDL-3 Apolipoprotein-A1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24.218 (15.842-37.091)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16.100 (7.834-27.803)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73.3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0.84 (0.74-0.95)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1.2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HDL-4 Apolipoprotein-A1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60.351 (25.041-78.275)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 xml:space="preserve">36.984 (6.700-54.699) 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89.66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85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0.88 (0.77-0.99)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1.4</w:t>
            </w:r>
          </w:p>
        </w:tc>
      </w:tr>
      <w:tr w:rsidR="00C53165" w:rsidRPr="00C353CF" w:rsidTr="00D0460B">
        <w:tc>
          <w:tcPr>
            <w:tcW w:w="127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HDL4 Apolipoprotein-A2</w:t>
            </w:r>
          </w:p>
        </w:tc>
        <w:tc>
          <w:tcPr>
            <w:tcW w:w="1276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14.748 (1.428-20.750)</w:t>
            </w:r>
          </w:p>
        </w:tc>
        <w:tc>
          <w:tcPr>
            <w:tcW w:w="1134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10.241 (2.400-14.434)</w:t>
            </w:r>
          </w:p>
        </w:tc>
        <w:tc>
          <w:tcPr>
            <w:tcW w:w="567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</w:t>
            </w:r>
          </w:p>
        </w:tc>
        <w:tc>
          <w:tcPr>
            <w:tcW w:w="850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993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708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93.3</w:t>
            </w:r>
          </w:p>
        </w:tc>
        <w:tc>
          <w:tcPr>
            <w:tcW w:w="709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70</w:t>
            </w:r>
          </w:p>
        </w:tc>
        <w:tc>
          <w:tcPr>
            <w:tcW w:w="992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0.79 (0.64-0.93)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&lt;0.001</w:t>
            </w:r>
          </w:p>
        </w:tc>
        <w:tc>
          <w:tcPr>
            <w:tcW w:w="851" w:type="dxa"/>
          </w:tcPr>
          <w:p w:rsidR="00C53165" w:rsidRPr="00C353CF" w:rsidRDefault="00C53165" w:rsidP="00D0460B">
            <w:pPr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</w:pPr>
            <w:r w:rsidRPr="00C353CF">
              <w:rPr>
                <w:rFonts w:eastAsia="Times New Roman" w:cstheme="minorHAnsi"/>
                <w:color w:val="000000"/>
                <w:sz w:val="18"/>
                <w:szCs w:val="18"/>
                <w:lang w:eastAsia="da-DK"/>
              </w:rPr>
              <w:t>1.0</w:t>
            </w:r>
          </w:p>
        </w:tc>
      </w:tr>
    </w:tbl>
    <w:p w:rsidR="00C53165" w:rsidRPr="001A71B6" w:rsidRDefault="00C53165" w:rsidP="00C53165">
      <w:pPr>
        <w:spacing w:line="480" w:lineRule="auto"/>
        <w:jc w:val="both"/>
        <w:rPr>
          <w:lang w:val="en-US"/>
        </w:rPr>
      </w:pPr>
    </w:p>
    <w:p w:rsidR="00C53165" w:rsidRDefault="00C53165" w:rsidP="00C53165"/>
    <w:sectPr w:rsidR="00C53165" w:rsidSect="00C53165">
      <w:headerReference w:type="default" r:id="rId6"/>
      <w:footerReference w:type="default" r:id="rId7"/>
      <w:type w:val="continuous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EB6" w:rsidRDefault="004B1EB6">
      <w:pPr>
        <w:spacing w:after="0" w:line="240" w:lineRule="auto"/>
      </w:pPr>
      <w:r>
        <w:separator/>
      </w:r>
    </w:p>
  </w:endnote>
  <w:endnote w:type="continuationSeparator" w:id="0">
    <w:p w:rsidR="004B1EB6" w:rsidRDefault="004B1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105460"/>
      <w:docPartObj>
        <w:docPartGallery w:val="Page Numbers (Bottom of Page)"/>
        <w:docPartUnique/>
      </w:docPartObj>
    </w:sdtPr>
    <w:sdtEndPr/>
    <w:sdtContent>
      <w:p w:rsidR="000170EF" w:rsidRDefault="00021A4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5ED">
          <w:rPr>
            <w:noProof/>
          </w:rPr>
          <w:t>2</w:t>
        </w:r>
        <w:r>
          <w:fldChar w:fldCharType="end"/>
        </w:r>
      </w:p>
    </w:sdtContent>
  </w:sdt>
  <w:p w:rsidR="000170EF" w:rsidRDefault="004B1EB6">
    <w:pPr>
      <w:pStyle w:val="Footer"/>
    </w:pPr>
  </w:p>
  <w:p w:rsidR="000170EF" w:rsidRDefault="004B1EB6"/>
  <w:p w:rsidR="000170EF" w:rsidRDefault="004B1EB6"/>
  <w:p w:rsidR="000170EF" w:rsidRDefault="004B1E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EB6" w:rsidRDefault="004B1EB6">
      <w:pPr>
        <w:spacing w:after="0" w:line="240" w:lineRule="auto"/>
      </w:pPr>
      <w:r>
        <w:separator/>
      </w:r>
    </w:p>
  </w:footnote>
  <w:footnote w:type="continuationSeparator" w:id="0">
    <w:p w:rsidR="004B1EB6" w:rsidRDefault="004B1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0EF" w:rsidRDefault="004B1EB6">
    <w:pPr>
      <w:pStyle w:val="Header"/>
      <w:jc w:val="center"/>
    </w:pPr>
  </w:p>
  <w:p w:rsidR="000170EF" w:rsidRDefault="004B1EB6">
    <w:pPr>
      <w:pStyle w:val="Header"/>
    </w:pPr>
  </w:p>
  <w:p w:rsidR="000170EF" w:rsidRDefault="004B1EB6"/>
  <w:p w:rsidR="000170EF" w:rsidRDefault="004B1EB6"/>
  <w:p w:rsidR="000170EF" w:rsidRDefault="004B1EB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oNotDisplayPageBoundarie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xNzEyNjA0tLQ0szRT0lEKTi0uzszPAykwrgUA0UlG+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</w:docVars>
  <w:rsids>
    <w:rsidRoot w:val="00AC049F"/>
    <w:rsid w:val="00021A4F"/>
    <w:rsid w:val="00022E04"/>
    <w:rsid w:val="004B1EB6"/>
    <w:rsid w:val="0058467F"/>
    <w:rsid w:val="00586D18"/>
    <w:rsid w:val="008A0BDE"/>
    <w:rsid w:val="008D4370"/>
    <w:rsid w:val="008F35A0"/>
    <w:rsid w:val="0090289A"/>
    <w:rsid w:val="00A1198D"/>
    <w:rsid w:val="00AA3977"/>
    <w:rsid w:val="00AC049F"/>
    <w:rsid w:val="00B34F79"/>
    <w:rsid w:val="00C53165"/>
    <w:rsid w:val="00D771ED"/>
    <w:rsid w:val="00DA7F2B"/>
    <w:rsid w:val="00E1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C75F5"/>
  <w15:chartTrackingRefBased/>
  <w15:docId w15:val="{32680891-F189-47F4-81F0-F6814E54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049F"/>
    <w:rPr>
      <w:lang w:val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9F"/>
    <w:rPr>
      <w:lang w:val="da-DK"/>
    </w:rPr>
  </w:style>
  <w:style w:type="paragraph" w:styleId="Footer">
    <w:name w:val="footer"/>
    <w:basedOn w:val="Normal"/>
    <w:link w:val="FooterChar"/>
    <w:uiPriority w:val="99"/>
    <w:unhideWhenUsed/>
    <w:rsid w:val="00AC0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9F"/>
    <w:rPr>
      <w:lang w:val="da-DK"/>
    </w:rPr>
  </w:style>
  <w:style w:type="table" w:styleId="TableGrid">
    <w:name w:val="Table Grid"/>
    <w:basedOn w:val="TableNormal"/>
    <w:uiPriority w:val="39"/>
    <w:rsid w:val="00AC049F"/>
    <w:pPr>
      <w:spacing w:after="0" w:line="240" w:lineRule="auto"/>
    </w:pPr>
    <w:rPr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049F"/>
    <w:pPr>
      <w:spacing w:after="0" w:line="240" w:lineRule="auto"/>
    </w:pPr>
    <w:rPr>
      <w:sz w:val="24"/>
      <w:szCs w:val="24"/>
      <w:lang w:val="da-DK"/>
    </w:rPr>
  </w:style>
  <w:style w:type="character" w:styleId="LineNumber">
    <w:name w:val="line number"/>
    <w:basedOn w:val="DefaultParagraphFont"/>
    <w:uiPriority w:val="99"/>
    <w:semiHidden/>
    <w:unhideWhenUsed/>
    <w:rsid w:val="00AC0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Shona Pedersen</dc:creator>
  <cp:keywords/>
  <dc:description/>
  <cp:lastModifiedBy>Shona Pedersen</cp:lastModifiedBy>
  <cp:revision>4</cp:revision>
  <dcterms:created xsi:type="dcterms:W3CDTF">2023-04-28T10:32:00Z</dcterms:created>
  <dcterms:modified xsi:type="dcterms:W3CDTF">2023-04-28T11:12:00Z</dcterms:modified>
</cp:coreProperties>
</file>